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b/>
          <w:bCs/>
          <w:sz w:val="28"/>
          <w:szCs w:val="28"/>
          <w:lang w:val="en-US" w:eastAsia="zh-CN"/>
        </w:rPr>
        <w:t>卵泡刺激素标准操作规程</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2EC2A6AC">
      <w:pPr>
        <w:pStyle w:val="37"/>
        <w:keepNext w:val="0"/>
        <w:keepLines w:val="0"/>
        <w:pageBreakBefore w:val="0"/>
        <w:kinsoku/>
        <w:wordWrap/>
        <w:overflowPunct/>
        <w:topLinePunct w:val="0"/>
        <w:bidi w:val="0"/>
        <w:spacing w:line="360" w:lineRule="auto"/>
        <w:ind w:firstLine="420" w:firstLineChars="0"/>
        <w:textAlignment w:val="auto"/>
        <w:rPr>
          <w:rFonts w:hint="eastAsia" w:ascii="宋体" w:hAnsi="宋体" w:eastAsia="宋体" w:cs="宋体"/>
          <w:szCs w:val="21"/>
        </w:rPr>
      </w:pPr>
      <w:r>
        <w:rPr>
          <w:rFonts w:hint="eastAsia" w:ascii="宋体" w:hAnsi="宋体" w:eastAsia="宋体" w:cs="宋体"/>
          <w:sz w:val="21"/>
          <w:szCs w:val="21"/>
        </w:rPr>
        <w:t>规范卵泡刺激素（follicle-stimulating hormone，FSH）的检测实验，确保检测结果的准确性和重复性。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04A95DAA">
      <w:pPr>
        <w:keepNext w:val="0"/>
        <w:keepLines w:val="0"/>
        <w:pageBreakBefore w:val="0"/>
        <w:kinsoku/>
        <w:wordWrap/>
        <w:overflowPunct/>
        <w:topLinePunct w:val="0"/>
        <w:autoSpaceDE w:val="0"/>
        <w:autoSpaceDN w:val="0"/>
        <w:bidi w:val="0"/>
        <w:adjustRightInd w:val="0"/>
        <w:spacing w:line="360" w:lineRule="auto"/>
        <w:ind w:firstLine="420" w:firstLineChars="0"/>
        <w:jc w:val="both"/>
        <w:textAlignment w:val="auto"/>
        <w:rPr>
          <w:rFonts w:hint="eastAsia" w:ascii="宋体" w:hAnsi="宋体" w:cs="宋体"/>
          <w:color w:val="000000"/>
          <w:szCs w:val="21"/>
        </w:rPr>
      </w:pPr>
      <w:r>
        <w:rPr>
          <w:rFonts w:hint="eastAsia" w:ascii="宋体" w:hAnsi="宋体" w:eastAsia="宋体" w:cs="宋体"/>
          <w:color w:val="000000"/>
          <w:szCs w:val="21"/>
        </w:rPr>
        <w:t>化学发光微粒子免疫检测法（CMIA）：</w:t>
      </w:r>
      <w:r>
        <w:rPr>
          <w:rFonts w:hint="eastAsia" w:ascii="宋体" w:hAnsi="宋体" w:eastAsia="宋体" w:cs="宋体"/>
          <w:kern w:val="0"/>
          <w:sz w:val="21"/>
          <w:szCs w:val="21"/>
        </w:rPr>
        <w:t>ARCHITECT卵泡刺激素项目采用两步法免疫检测，运用Chemiflex技术，即化学发光微粒子免疫检测(CMIA)技术与灵活的检测模式结合，测定人血清和血浆中的卵泡刺激素。</w:t>
      </w:r>
    </w:p>
    <w:p w14:paraId="550FFA1A">
      <w:pPr>
        <w:autoSpaceDE w:val="0"/>
        <w:autoSpaceDN w:val="0"/>
        <w:adjustRightInd w:val="0"/>
        <w:spacing w:after="125" w:line="360" w:lineRule="auto"/>
        <w:jc w:val="left"/>
        <w:rPr>
          <w:rFonts w:hint="default" w:ascii="宋体" w:hAnsi="宋体" w:eastAsia="宋体" w:cs="黑体"/>
          <w:b/>
          <w:bCs/>
          <w:color w:val="auto"/>
          <w:szCs w:val="21"/>
          <w:highlight w:val="none"/>
          <w:lang w:val="en-US" w:eastAsia="zh-CN"/>
        </w:rPr>
      </w:pPr>
      <w:r>
        <w:rPr>
          <w:rFonts w:ascii="宋体" w:hAnsi="宋体" w:cs="黑体"/>
          <w:b/>
          <w:bCs/>
          <w:color w:val="auto"/>
          <w:szCs w:val="21"/>
          <w:highlight w:val="none"/>
        </w:rPr>
        <w:t>4</w:t>
      </w:r>
      <w:r>
        <w:rPr>
          <w:rFonts w:hint="eastAsia" w:ascii="宋体" w:hAnsi="宋体" w:cs="黑体"/>
          <w:b/>
          <w:bCs/>
          <w:color w:val="auto"/>
          <w:szCs w:val="21"/>
          <w:highlight w:val="none"/>
          <w:lang w:val="en-US" w:eastAsia="zh-CN"/>
        </w:rPr>
        <w:t xml:space="preserve"> </w:t>
      </w:r>
      <w:r>
        <w:rPr>
          <w:rFonts w:hint="eastAsia" w:ascii="宋体" w:hAnsi="宋体" w:cs="黑体"/>
          <w:b/>
          <w:bCs/>
          <w:color w:val="auto"/>
          <w:szCs w:val="21"/>
          <w:highlight w:val="none"/>
        </w:rPr>
        <w:t>性能特征</w:t>
      </w:r>
    </w:p>
    <w:p w14:paraId="7A5844BC">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ascii="宋体" w:hAnsi="宋体" w:cs="黑体"/>
          <w:color w:val="auto"/>
          <w:szCs w:val="21"/>
        </w:rPr>
        <w:t>4.1</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w:t>
      </w:r>
      <w:r>
        <w:rPr>
          <w:rFonts w:hint="eastAsia" w:ascii="宋体" w:hAnsi="宋体" w:cs="宋体"/>
          <w:color w:val="auto"/>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color w:val="auto"/>
          <w:kern w:val="0"/>
          <w:sz w:val="21"/>
          <w:szCs w:val="21"/>
          <w:highlight w:val="none"/>
        </w:rPr>
        <w:t>卵泡刺激素精密度设定为≤</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回收率：平均回收率为96.05%</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sz w:val="21"/>
          <w:szCs w:val="21"/>
          <w:highlight w:val="none"/>
        </w:rPr>
        <w:t>灵敏度：</w:t>
      </w:r>
      <w:r>
        <w:rPr>
          <w:rFonts w:hint="eastAsia" w:ascii="宋体" w:hAnsi="宋体" w:eastAsia="宋体" w:cs="宋体"/>
          <w:color w:val="auto"/>
          <w:kern w:val="0"/>
          <w:sz w:val="21"/>
          <w:szCs w:val="21"/>
          <w:highlight w:val="none"/>
        </w:rPr>
        <w:t>ARCHITECT卵泡刺激素项目的分析灵敏度小于0 . 0 5m I U / m L</w:t>
      </w:r>
      <w:r>
        <w:rPr>
          <w:rFonts w:hint="eastAsia" w:ascii="宋体" w:hAnsi="宋体" w:cs="宋体"/>
          <w:color w:val="auto"/>
          <w:kern w:val="0"/>
          <w:sz w:val="21"/>
          <w:szCs w:val="21"/>
          <w:highlight w:val="none"/>
          <w:lang w:eastAsia="zh-CN"/>
        </w:rPr>
        <w:t>；</w:t>
      </w:r>
      <w:r>
        <w:rPr>
          <w:rFonts w:hint="eastAsia" w:ascii="宋体" w:hAnsi="宋体"/>
        </w:rPr>
        <w:t>线性范围：</w:t>
      </w:r>
      <w:r>
        <w:rPr>
          <w:rFonts w:hint="eastAsia" w:ascii="宋体" w:hAnsi="宋体" w:eastAsia="宋体" w:cs="宋体"/>
          <w:sz w:val="21"/>
          <w:szCs w:val="21"/>
        </w:rPr>
        <w:t>0.11～150 mIU/mL</w:t>
      </w:r>
      <w:r>
        <w:rPr>
          <w:rFonts w:hint="eastAsia" w:ascii="宋体" w:hAnsi="宋体"/>
        </w:rPr>
        <w:t>。</w:t>
      </w:r>
    </w:p>
    <w:p w14:paraId="0A423110">
      <w:pPr>
        <w:numPr>
          <w:ilvl w:val="0"/>
          <w:numId w:val="1"/>
        </w:numPr>
        <w:autoSpaceDE w:val="0"/>
        <w:autoSpaceDN w:val="0"/>
        <w:adjustRightInd w:val="0"/>
        <w:spacing w:line="360" w:lineRule="auto"/>
        <w:jc w:val="left"/>
        <w:rPr>
          <w:rFonts w:hint="eastAsia" w:ascii="宋体" w:hAnsi="宋体" w:cs="宋体"/>
          <w:color w:val="auto"/>
          <w:szCs w:val="21"/>
          <w:highlight w:val="none"/>
        </w:rPr>
      </w:pPr>
      <w:r>
        <w:rPr>
          <w:rFonts w:ascii="宋体" w:hAnsi="宋体" w:cs="黑体"/>
          <w:color w:val="auto"/>
          <w:szCs w:val="21"/>
          <w:highlight w:val="none"/>
        </w:rPr>
        <w:t xml:space="preserve">4.2 </w:t>
      </w:r>
      <w:r>
        <w:rPr>
          <w:rFonts w:hint="eastAsia" w:ascii="宋体" w:hAnsi="宋体" w:cs="宋体"/>
          <w:color w:val="auto"/>
          <w:szCs w:val="21"/>
          <w:highlight w:val="none"/>
        </w:rPr>
        <w:t>性能验证操作详见编号</w:t>
      </w:r>
      <w:r>
        <w:rPr>
          <w:rFonts w:ascii="宋体" w:hAnsi="宋体" w:cs="宋体"/>
          <w:color w:val="auto"/>
          <w:szCs w:val="21"/>
          <w:highlight w:val="none"/>
        </w:rPr>
        <w:t>XXX</w:t>
      </w:r>
      <w:r>
        <w:rPr>
          <w:rFonts w:hint="eastAsia" w:ascii="宋体" w:hAnsi="宋体" w:cs="宋体"/>
          <w:color w:val="auto"/>
          <w:szCs w:val="21"/>
          <w:highlight w:val="none"/>
        </w:rPr>
        <w:t>的《</w:t>
      </w:r>
      <w:r>
        <w:rPr>
          <w:rFonts w:ascii="宋体" w:hAnsi="宋体" w:cs="宋体"/>
          <w:color w:val="auto"/>
          <w:szCs w:val="21"/>
          <w:highlight w:val="none"/>
        </w:rPr>
        <w:t>XXX</w:t>
      </w:r>
      <w:r>
        <w:rPr>
          <w:rFonts w:hint="eastAsia" w:ascii="宋体" w:hAnsi="宋体" w:cs="宋体"/>
          <w:color w:val="auto"/>
          <w:szCs w:val="21"/>
          <w:highlight w:val="none"/>
        </w:rPr>
        <w:t>检测系统血清</w:t>
      </w:r>
      <w:r>
        <w:rPr>
          <w:rFonts w:hint="eastAsia" w:ascii="宋体" w:hAnsi="宋体" w:eastAsia="宋体" w:cs="宋体"/>
          <w:color w:val="auto"/>
          <w:kern w:val="0"/>
          <w:sz w:val="21"/>
          <w:szCs w:val="21"/>
          <w:highlight w:val="none"/>
        </w:rPr>
        <w:t>卵泡刺激素</w:t>
      </w:r>
      <w:r>
        <w:rPr>
          <w:rFonts w:hint="eastAsia" w:ascii="宋体" w:hAnsi="宋体" w:cs="宋体"/>
          <w:color w:val="auto"/>
          <w:szCs w:val="21"/>
          <w:highlight w:val="none"/>
        </w:rPr>
        <w:t>测定性能验证标准操作程序》。</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4B653045">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3D82164B">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 </w:t>
      </w:r>
      <w:r>
        <w:rPr>
          <w:rFonts w:hint="eastAsia" w:ascii="宋体" w:hAnsi="宋体" w:cs="宋体"/>
          <w:szCs w:val="21"/>
        </w:rPr>
        <w:t>试剂</w:t>
      </w:r>
    </w:p>
    <w:p w14:paraId="31CE8D74">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both"/>
        <w:textAlignment w:val="auto"/>
        <w:rPr>
          <w:rFonts w:hint="eastAsia" w:ascii="宋体" w:hAnsi="宋体" w:eastAsia="宋体" w:cs="宋体"/>
          <w:color w:val="FF0000"/>
          <w:kern w:val="0"/>
          <w:sz w:val="21"/>
          <w:szCs w:val="21"/>
          <w:lang w:bidi="ar"/>
        </w:rPr>
      </w:pPr>
      <w:r>
        <w:rPr>
          <w:rFonts w:ascii="宋体" w:hAnsi="宋体" w:cs="黑体"/>
          <w:szCs w:val="21"/>
        </w:rPr>
        <w:t xml:space="preserve">8.2.1 </w:t>
      </w:r>
      <w:r>
        <w:rPr>
          <w:rFonts w:hint="eastAsia" w:ascii="宋体" w:hAnsi="宋体" w:cs="宋体"/>
          <w:szCs w:val="21"/>
        </w:rPr>
        <w:t>检测试剂</w:t>
      </w:r>
      <w:r>
        <w:rPr>
          <w:rFonts w:hint="eastAsia" w:ascii="宋体" w:hAnsi="宋体" w:cs="宋体"/>
          <w:color w:val="auto"/>
          <w:szCs w:val="21"/>
        </w:rPr>
        <w:t>：</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w:t>
      </w:r>
      <w:r>
        <w:rPr>
          <w:rFonts w:hint="eastAsia" w:ascii="宋体" w:hAnsi="宋体" w:cs="宋体"/>
          <w:szCs w:val="21"/>
        </w:rPr>
        <w:t>无需配制，即开即用。</w:t>
      </w:r>
    </w:p>
    <w:p w14:paraId="3ED2B5D8">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0"/>
          <w:sz w:val="21"/>
          <w:szCs w:val="21"/>
        </w:rPr>
        <w:t>ARCHITECT卵泡刺激素测定试剂盒(</w:t>
      </w:r>
      <w:r>
        <w:rPr>
          <w:rFonts w:hint="eastAsia" w:ascii="宋体" w:hAnsi="宋体" w:eastAsia="宋体" w:cs="宋体"/>
          <w:color w:val="auto"/>
          <w:kern w:val="0"/>
          <w:sz w:val="21"/>
          <w:szCs w:val="21"/>
          <w:lang w:val="en-US" w:eastAsia="zh-CN"/>
        </w:rPr>
        <w:t>07P49</w:t>
      </w:r>
      <w:r>
        <w:rPr>
          <w:rFonts w:hint="eastAsia" w:ascii="宋体" w:hAnsi="宋体" w:eastAsia="宋体" w:cs="宋体"/>
          <w:color w:val="auto"/>
          <w:kern w:val="0"/>
          <w:sz w:val="21"/>
          <w:szCs w:val="21"/>
        </w:rPr>
        <w:t xml:space="preserve">) </w:t>
      </w:r>
    </w:p>
    <w:p w14:paraId="680E01FA">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1或4瓶(6.6 mL/27.0 mL)抗-β卵泡刺激素(小鼠，单克隆)包被的微粒子，储存于含有蛋白(牛和鼠)稳定剂的2-(N-吗啡啉)乙磺酸(MES)缓冲液中。最低浓度：0.1%固体物质。防腐剂</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rPr>
        <w:t>抗菌剂。</w:t>
      </w:r>
    </w:p>
    <w:p w14:paraId="6BEDAB69">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1或4瓶(5.9 mL/26.3 mL)吖啶酯标记的抗-α卵泡刺激素(小鼠，单克隆)结合物，储存于含有蛋白(牛)稳定剂的2-(N-吗啡啉)乙磺酸(MES)缓冲液中。最低浓度： 45 ng/mL。防腐剂： 抗菌剂。</w:t>
      </w:r>
    </w:p>
    <w:p w14:paraId="34D1C3A4">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rPr>
        <w:t xml:space="preserve"> </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 xml:space="preserve">）其它试剂：ARCHITECT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预激发液、ARCHITECT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清洗缓冲液。</w:t>
      </w:r>
    </w:p>
    <w:p w14:paraId="338A006B">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eastAsia" w:ascii="宋体" w:hAnsi="宋体" w:cs="宋体"/>
          <w:color w:val="auto"/>
          <w:kern w:val="0"/>
          <w:sz w:val="21"/>
          <w:szCs w:val="21"/>
          <w:lang w:val="en-US" w:eastAsia="zh-CN" w:bidi="ar"/>
        </w:rPr>
        <w:t>1.2</w:t>
      </w:r>
      <w:r>
        <w:rPr>
          <w:rFonts w:hint="eastAsia" w:ascii="宋体" w:hAnsi="宋体" w:eastAsia="宋体" w:cs="宋体"/>
          <w:color w:val="auto"/>
          <w:sz w:val="21"/>
          <w:szCs w:val="21"/>
        </w:rPr>
        <w:t>试剂盒储存条件</w:t>
      </w:r>
    </w:p>
    <w:p w14:paraId="241D7F2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color w:val="auto"/>
          <w:kern w:val="0"/>
          <w:sz w:val="21"/>
          <w:szCs w:val="21"/>
        </w:rPr>
        <w:t>ARCHITECT卵泡刺激素</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w:t>
      </w: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387EFED3">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64D80F92">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kern w:val="0"/>
          <w:sz w:val="21"/>
          <w:szCs w:val="21"/>
        </w:rPr>
        <w:t>ARCHITECT卵泡刺激素</w:t>
      </w:r>
      <w:r>
        <w:rPr>
          <w:rFonts w:hint="eastAsia" w:ascii="宋体" w:hAnsi="宋体" w:eastAsia="宋体" w:cs="宋体"/>
          <w:color w:val="auto"/>
          <w:sz w:val="21"/>
          <w:szCs w:val="21"/>
        </w:rPr>
        <w:t xml:space="preserve">测定试剂盒在ARCHITECT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系统上最长可以储存30天。</w:t>
      </w:r>
    </w:p>
    <w:p w14:paraId="00E51BBA">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d）试剂可以在ARCHITECT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2</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5EC5CE3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04AD9687">
      <w:pPr>
        <w:autoSpaceDE w:val="0"/>
        <w:autoSpaceDN w:val="0"/>
        <w:adjustRightInd w:val="0"/>
        <w:spacing w:after="125" w:line="360" w:lineRule="auto"/>
        <w:ind w:firstLine="420" w:firstLineChars="0"/>
        <w:jc w:val="left"/>
        <w:rPr>
          <w:rFonts w:hint="eastAsia" w:ascii="宋体" w:hAnsi="宋体" w:cs="黑体"/>
          <w:b/>
          <w:bCs/>
          <w:color w:val="000000"/>
          <w:szCs w:val="21"/>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lang w:val="en-US" w:eastAsia="zh-CN"/>
        </w:rPr>
        <w:t xml:space="preserve">3 </w:t>
      </w:r>
      <w:r>
        <w:rPr>
          <w:rFonts w:hint="eastAsia" w:ascii="宋体" w:hAnsi="宋体" w:cs="宋体"/>
          <w:color w:val="auto"/>
          <w:szCs w:val="21"/>
        </w:rPr>
        <w:t>本检测试剂含动物源性物质，可能传播传染病。叠氮化钠防腐剂可在金属排水管道形成爆炸性化合物，应在弃置未稀释试剂后用水冲洗污水管，避免叠氮化合物积聚。仪器安全使用要求详见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r>
        <w:rPr>
          <w:rFonts w:ascii="宋体" w:hAnsi="宋体" w:cs="黑体"/>
          <w:b/>
          <w:bCs/>
          <w:color w:val="000000"/>
          <w:szCs w:val="21"/>
        </w:rPr>
        <w:t xml:space="preserve">10 </w:t>
      </w:r>
      <w:r>
        <w:rPr>
          <w:rFonts w:hint="eastAsia" w:ascii="宋体" w:hAnsi="宋体" w:cs="黑体"/>
          <w:b/>
          <w:bCs/>
          <w:color w:val="000000"/>
          <w:szCs w:val="21"/>
        </w:rPr>
        <w:t>校准程序</w:t>
      </w:r>
    </w:p>
    <w:p w14:paraId="5EF51D2C">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w:t>
      </w:r>
      <w:r>
        <w:rPr>
          <w:rFonts w:hint="eastAsia" w:ascii="宋体" w:hAnsi="宋体" w:cs="宋体"/>
          <w:sz w:val="21"/>
          <w:szCs w:val="21"/>
          <w:lang w:eastAsia="zh-CN"/>
        </w:rPr>
        <w:t>世界卫生组织（</w:t>
      </w:r>
      <w:r>
        <w:rPr>
          <w:rFonts w:hint="eastAsia" w:ascii="宋体" w:hAnsi="宋体" w:cs="宋体"/>
          <w:sz w:val="21"/>
          <w:szCs w:val="21"/>
          <w:lang w:val="en-US" w:eastAsia="zh-CN"/>
        </w:rPr>
        <w:t>WHO</w:t>
      </w:r>
      <w:r>
        <w:rPr>
          <w:rFonts w:hint="eastAsia" w:ascii="宋体" w:hAnsi="宋体" w:cs="宋体"/>
          <w:sz w:val="21"/>
          <w:szCs w:val="21"/>
          <w:lang w:eastAsia="zh-CN"/>
        </w:rPr>
        <w:t>）</w:t>
      </w:r>
      <w:r>
        <w:rPr>
          <w:rFonts w:hint="eastAsia" w:ascii="宋体" w:hAnsi="宋体" w:cs="宋体"/>
          <w:sz w:val="21"/>
          <w:szCs w:val="21"/>
          <w:lang w:val="en-US" w:eastAsia="zh-CN"/>
        </w:rPr>
        <w:t>FSH第一代国际标准品（92/510）</w:t>
      </w:r>
      <w:r>
        <w:rPr>
          <w:rFonts w:hint="eastAsia" w:ascii="宋体" w:hAnsi="宋体" w:eastAsia="宋体" w:cs="宋体"/>
          <w:sz w:val="21"/>
          <w:szCs w:val="21"/>
        </w:rPr>
        <w:t>。</w:t>
      </w:r>
    </w:p>
    <w:p w14:paraId="192BC834">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59325464">
      <w:pPr>
        <w:pStyle w:val="7"/>
        <w:spacing w:line="360" w:lineRule="auto"/>
        <w:ind w:right="0" w:rightChars="0" w:firstLine="420" w:firstLineChars="0"/>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4D763138">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5412546E">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雅培</w:t>
      </w:r>
      <w:r>
        <w:rPr>
          <w:rFonts w:hint="eastAsia" w:ascii="宋体" w:hAnsi="宋体" w:eastAsia="宋体" w:cs="宋体"/>
          <w:color w:val="auto"/>
          <w:szCs w:val="21"/>
        </w:rPr>
        <w:t>Alinity</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i全自动化学发光免疫分析仪检测步骤</w:t>
      </w:r>
      <w:r>
        <w:rPr>
          <w:rFonts w:hint="eastAsia" w:ascii="宋体" w:hAnsi="宋体" w:eastAsia="宋体" w:cs="宋体"/>
          <w:color w:val="auto"/>
          <w:szCs w:val="21"/>
          <w:lang w:val="en-US" w:eastAsia="zh-CN"/>
        </w:rPr>
        <w:t>主要操作要点：</w:t>
      </w:r>
    </w:p>
    <w:p w14:paraId="35F4BB05">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11.1 混合样本和抗-β卵泡刺激素包被顺磁性微粒。样本中的FSH</w:t>
      </w:r>
      <w:r>
        <w:rPr>
          <w:rFonts w:hint="default" w:ascii="宋体" w:hAnsi="宋体" w:eastAsia="宋体" w:cs="宋体"/>
          <w:color w:val="auto"/>
          <w:szCs w:val="21"/>
          <w:lang w:val="en-US" w:eastAsia="zh-CN"/>
        </w:rPr>
        <w:t xml:space="preserve">与抗-β卵泡刺激素包被微粒结合。 </w:t>
      </w:r>
    </w:p>
    <w:p w14:paraId="48D3985C">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11.2 </w:t>
      </w:r>
      <w:r>
        <w:rPr>
          <w:rFonts w:hint="default" w:ascii="宋体" w:hAnsi="宋体" w:eastAsia="宋体" w:cs="宋体"/>
          <w:color w:val="auto"/>
          <w:szCs w:val="21"/>
          <w:lang w:val="en-US" w:eastAsia="zh-CN"/>
        </w:rPr>
        <w:t xml:space="preserve">冲洗后，添加吖啶酯标记的抗-α卵泡刺激素结合物。 </w:t>
      </w:r>
    </w:p>
    <w:p w14:paraId="79C3F683">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11.3 </w:t>
      </w:r>
      <w:r>
        <w:rPr>
          <w:rFonts w:hint="default" w:ascii="宋体" w:hAnsi="宋体" w:eastAsia="宋体" w:cs="宋体"/>
          <w:color w:val="auto"/>
          <w:szCs w:val="21"/>
          <w:lang w:val="en-US" w:eastAsia="zh-CN"/>
        </w:rPr>
        <w:t xml:space="preserve">再次冲洗后，将预激发液和激发液加入到反应混合物中。 </w:t>
      </w:r>
    </w:p>
    <w:p w14:paraId="4A4B21BC">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11.4 </w:t>
      </w:r>
      <w:r>
        <w:rPr>
          <w:rFonts w:hint="default" w:ascii="宋体" w:hAnsi="宋体" w:eastAsia="宋体" w:cs="宋体"/>
          <w:color w:val="auto"/>
          <w:szCs w:val="21"/>
          <w:lang w:val="en-US" w:eastAsia="zh-CN"/>
        </w:rPr>
        <w:t>测量产生的化学发光反应，以相对发光单位(RLUs)表示。样本中的FSH含量和光学系统检测到的RLUs值之间成成正比。</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36D8788D">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3F5A14D2">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7DDD88DD">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4F54A838">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29959337">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6A3D5E39">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4A8160B4">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7DC63B5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38DE7D80">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18C22774">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478113CF">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3DE1C15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6B705D9C">
      <w:pPr>
        <w:numPr>
          <w:ilvl w:val="0"/>
          <w:numId w:val="2"/>
        </w:numPr>
        <w:autoSpaceDE w:val="0"/>
        <w:autoSpaceDN w:val="0"/>
        <w:adjustRightInd w:val="0"/>
        <w:spacing w:line="360" w:lineRule="auto"/>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50C42D05">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0453BF3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6</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p>
    <w:p w14:paraId="48740D07">
      <w:pPr>
        <w:autoSpaceDE w:val="0"/>
        <w:autoSpaceDN w:val="0"/>
        <w:adjustRightInd w:val="0"/>
        <w:spacing w:after="125" w:line="360" w:lineRule="auto"/>
        <w:jc w:val="left"/>
        <w:rPr>
          <w:rFonts w:hint="eastAsia" w:ascii="宋体" w:hAnsi="宋体" w:cs="黑体"/>
          <w:b/>
          <w:bCs/>
          <w:color w:val="000000"/>
          <w:szCs w:val="21"/>
        </w:rPr>
      </w:pPr>
      <w:bookmarkStart w:id="0" w:name="_GoBack"/>
      <w:bookmarkEnd w:id="0"/>
      <w:r>
        <w:rPr>
          <w:rFonts w:ascii="宋体" w:hAnsi="宋体" w:cs="黑体"/>
          <w:b/>
          <w:bCs/>
          <w:color w:val="000000"/>
          <w:szCs w:val="21"/>
        </w:rPr>
        <w:t xml:space="preserve">13 </w:t>
      </w:r>
      <w:r>
        <w:rPr>
          <w:rFonts w:hint="eastAsia" w:ascii="宋体" w:hAnsi="宋体" w:cs="黑体"/>
          <w:b/>
          <w:bCs/>
          <w:color w:val="000000"/>
          <w:szCs w:val="21"/>
        </w:rPr>
        <w:t>干扰和交叉反应</w:t>
      </w:r>
    </w:p>
    <w:p w14:paraId="7C30D4E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 w:val="21"/>
          <w:szCs w:val="21"/>
        </w:rPr>
        <w:t>以下物质的浓度对FSH的平均干扰率＜8%：</w:t>
      </w:r>
      <w:r>
        <w:rPr>
          <w:rFonts w:hint="eastAsia" w:ascii="宋体" w:hAnsi="宋体" w:eastAsia="宋体" w:cs="宋体"/>
          <w:color w:val="000000"/>
          <w:sz w:val="21"/>
          <w:szCs w:val="21"/>
        </w:rPr>
        <w:t>血红蛋白</w:t>
      </w:r>
      <w:r>
        <w:rPr>
          <w:rFonts w:hint="eastAsia" w:ascii="宋体" w:hAnsi="宋体" w:eastAsia="宋体" w:cs="宋体"/>
          <w:kern w:val="0"/>
          <w:sz w:val="21"/>
          <w:szCs w:val="21"/>
        </w:rPr>
        <w:t>≤</w:t>
      </w:r>
      <w:r>
        <w:rPr>
          <w:rFonts w:hint="eastAsia" w:ascii="宋体" w:hAnsi="宋体" w:eastAsia="宋体" w:cs="宋体"/>
          <w:sz w:val="21"/>
          <w:szCs w:val="21"/>
        </w:rPr>
        <w:t>500 mg/dL</w:t>
      </w:r>
      <w:r>
        <w:rPr>
          <w:rFonts w:hint="eastAsia" w:ascii="宋体" w:hAnsi="宋体" w:eastAsia="宋体" w:cs="宋体"/>
          <w:color w:val="000000"/>
          <w:sz w:val="21"/>
          <w:szCs w:val="21"/>
        </w:rPr>
        <w:t>；胆红素</w:t>
      </w:r>
      <w:r>
        <w:rPr>
          <w:rFonts w:hint="eastAsia" w:ascii="宋体" w:hAnsi="宋体" w:eastAsia="宋体" w:cs="宋体"/>
          <w:kern w:val="0"/>
          <w:sz w:val="21"/>
          <w:szCs w:val="21"/>
        </w:rPr>
        <w:t>≤</w:t>
      </w:r>
      <w:r>
        <w:rPr>
          <w:rFonts w:hint="eastAsia" w:ascii="宋体" w:hAnsi="宋体" w:eastAsia="宋体" w:cs="宋体"/>
          <w:sz w:val="21"/>
          <w:szCs w:val="21"/>
        </w:rPr>
        <w:t>20 mg/dL；甘油三酯</w:t>
      </w:r>
      <w:r>
        <w:rPr>
          <w:rFonts w:hint="eastAsia" w:ascii="宋体" w:hAnsi="宋体" w:eastAsia="宋体" w:cs="宋体"/>
          <w:kern w:val="0"/>
          <w:sz w:val="21"/>
          <w:szCs w:val="21"/>
        </w:rPr>
        <w:t>≤3000 m</w:t>
      </w:r>
      <w:r>
        <w:rPr>
          <w:rFonts w:hint="eastAsia" w:ascii="宋体" w:hAnsi="宋体" w:eastAsia="宋体" w:cs="宋体"/>
          <w:sz w:val="21"/>
          <w:szCs w:val="21"/>
        </w:rPr>
        <w:t>g/dL</w:t>
      </w:r>
      <w:r>
        <w:rPr>
          <w:rFonts w:hint="eastAsia" w:ascii="宋体" w:hAnsi="宋体" w:eastAsia="宋体" w:cs="宋体"/>
          <w:color w:val="000000"/>
          <w:sz w:val="21"/>
          <w:szCs w:val="21"/>
        </w:rPr>
        <w:t>；总蛋白</w:t>
      </w:r>
      <w:r>
        <w:rPr>
          <w:rFonts w:hint="eastAsia" w:ascii="宋体" w:hAnsi="宋体" w:eastAsia="宋体" w:cs="宋体"/>
          <w:kern w:val="0"/>
          <w:sz w:val="21"/>
          <w:szCs w:val="21"/>
        </w:rPr>
        <w:t>≤2</w:t>
      </w:r>
      <w:r>
        <w:rPr>
          <w:rFonts w:hint="eastAsia" w:ascii="宋体" w:hAnsi="宋体" w:eastAsia="宋体" w:cs="宋体"/>
          <w:sz w:val="21"/>
          <w:szCs w:val="21"/>
        </w:rPr>
        <w:t>～</w:t>
      </w:r>
      <w:r>
        <w:rPr>
          <w:rFonts w:hint="eastAsia" w:ascii="宋体" w:hAnsi="宋体" w:eastAsia="宋体" w:cs="宋体"/>
          <w:kern w:val="0"/>
          <w:sz w:val="21"/>
          <w:szCs w:val="21"/>
        </w:rPr>
        <w:t xml:space="preserve">12 </w:t>
      </w:r>
      <w:r>
        <w:rPr>
          <w:rFonts w:hint="eastAsia" w:ascii="宋体" w:hAnsi="宋体" w:eastAsia="宋体" w:cs="宋体"/>
          <w:sz w:val="21"/>
          <w:szCs w:val="21"/>
        </w:rPr>
        <w:t>g/dL</w:t>
      </w:r>
      <w:r>
        <w:rPr>
          <w:rFonts w:hint="eastAsia" w:ascii="宋体" w:hAnsi="宋体" w:eastAsia="宋体" w:cs="宋体"/>
          <w:sz w:val="21"/>
          <w:szCs w:val="21"/>
          <w:lang w:eastAsia="zh-CN"/>
        </w:rPr>
        <w:t>。</w:t>
      </w:r>
    </w:p>
    <w:p w14:paraId="43034446">
      <w:pPr>
        <w:autoSpaceDE w:val="0"/>
        <w:autoSpaceDN w:val="0"/>
        <w:adjustRightInd w:val="0"/>
        <w:spacing w:after="125" w:line="360" w:lineRule="auto"/>
        <w:jc w:val="left"/>
        <w:rPr>
          <w:rFonts w:hint="default" w:ascii="宋体" w:hAnsi="宋体" w:eastAsia="宋体" w:cs="黑体"/>
          <w:b/>
          <w:bCs/>
          <w:color w:val="FF0000"/>
          <w:szCs w:val="21"/>
          <w:lang w:val="en-US" w:eastAsia="zh-CN"/>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4140CBD9">
      <w:pPr>
        <w:autoSpaceDE w:val="0"/>
        <w:autoSpaceDN w:val="0"/>
        <w:adjustRightInd w:val="0"/>
        <w:spacing w:after="125" w:line="360" w:lineRule="auto"/>
        <w:ind w:firstLine="420" w:firstLine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sz w:val="21"/>
          <w:szCs w:val="21"/>
          <w:lang w:val="en-US" w:eastAsia="zh-CN"/>
        </w:rPr>
        <w:t>FSH</w:t>
      </w:r>
      <w:r>
        <w:rPr>
          <w:rFonts w:hint="eastAsia" w:ascii="宋体" w:hAnsi="宋体" w:eastAsia="宋体" w:cs="宋体"/>
          <w:color w:val="000000"/>
          <w:kern w:val="0"/>
          <w:sz w:val="21"/>
          <w:szCs w:val="21"/>
          <w:lang w:bidi="ar"/>
        </w:rPr>
        <w:t>浓度，结果以</w:t>
      </w:r>
      <w:r>
        <w:rPr>
          <w:rFonts w:hint="eastAsia" w:ascii="宋体" w:hAnsi="宋体" w:eastAsia="宋体" w:cs="宋体"/>
          <w:sz w:val="21"/>
          <w:szCs w:val="21"/>
        </w:rPr>
        <w:t>mIU/mL</w:t>
      </w:r>
      <w:r>
        <w:rPr>
          <w:rFonts w:hint="eastAsia" w:ascii="宋体" w:hAnsi="宋体" w:eastAsia="宋体" w:cs="宋体"/>
          <w:color w:val="000000"/>
          <w:kern w:val="0"/>
          <w:sz w:val="21"/>
          <w:szCs w:val="21"/>
          <w:lang w:bidi="ar"/>
        </w:rPr>
        <w:t>表示。</w:t>
      </w:r>
    </w:p>
    <w:p w14:paraId="5D09A7CB">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733E6091">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男性：0.95～11.95 mIU/mL</w:t>
      </w:r>
    </w:p>
    <w:p w14:paraId="64ECF550">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女性</w:t>
      </w:r>
      <w:r>
        <w:rPr>
          <w:rFonts w:hint="eastAsia" w:ascii="宋体" w:hAnsi="宋体" w:eastAsia="宋体" w:cs="宋体"/>
          <w:sz w:val="21"/>
          <w:szCs w:val="21"/>
          <w:lang w:eastAsia="zh-CN"/>
        </w:rPr>
        <w:t>：</w:t>
      </w:r>
      <w:r>
        <w:rPr>
          <w:rFonts w:hint="eastAsia" w:ascii="宋体" w:hAnsi="宋体" w:eastAsia="宋体" w:cs="宋体"/>
          <w:sz w:val="21"/>
          <w:szCs w:val="21"/>
        </w:rPr>
        <w:t>卵泡期：3.03～8.08 mIU/mL</w:t>
      </w:r>
    </w:p>
    <w:p w14:paraId="02A17E52">
      <w:pPr>
        <w:keepNext w:val="0"/>
        <w:keepLines w:val="0"/>
        <w:pageBreakBefore w:val="0"/>
        <w:numPr>
          <w:ilvl w:val="0"/>
          <w:numId w:val="0"/>
        </w:numPr>
        <w:kinsoku/>
        <w:wordWrap/>
        <w:overflowPunct/>
        <w:topLinePunct w:val="0"/>
        <w:bidi w:val="0"/>
        <w:snapToGrid w:val="0"/>
        <w:spacing w:line="360" w:lineRule="auto"/>
        <w:ind w:firstLine="1050" w:firstLineChars="500"/>
        <w:textAlignment w:val="auto"/>
        <w:rPr>
          <w:rFonts w:hint="eastAsia" w:ascii="宋体" w:hAnsi="宋体" w:eastAsia="宋体" w:cs="宋体"/>
          <w:sz w:val="21"/>
          <w:szCs w:val="21"/>
        </w:rPr>
      </w:pPr>
      <w:r>
        <w:rPr>
          <w:rFonts w:hint="eastAsia" w:ascii="宋体" w:hAnsi="宋体" w:eastAsia="宋体" w:cs="宋体"/>
          <w:sz w:val="21"/>
          <w:szCs w:val="21"/>
        </w:rPr>
        <w:t>排卵期：2.55～16.69 mIU/mL</w:t>
      </w:r>
    </w:p>
    <w:p w14:paraId="3499BB6C">
      <w:pPr>
        <w:keepNext w:val="0"/>
        <w:keepLines w:val="0"/>
        <w:pageBreakBefore w:val="0"/>
        <w:numPr>
          <w:ilvl w:val="0"/>
          <w:numId w:val="0"/>
        </w:numPr>
        <w:kinsoku/>
        <w:wordWrap/>
        <w:overflowPunct/>
        <w:topLinePunct w:val="0"/>
        <w:bidi w:val="0"/>
        <w:snapToGrid w:val="0"/>
        <w:spacing w:line="360" w:lineRule="auto"/>
        <w:ind w:firstLine="1050" w:firstLineChars="500"/>
        <w:textAlignment w:val="auto"/>
        <w:rPr>
          <w:rFonts w:hint="eastAsia" w:ascii="宋体" w:hAnsi="宋体" w:eastAsia="宋体" w:cs="宋体"/>
          <w:sz w:val="21"/>
          <w:szCs w:val="21"/>
        </w:rPr>
      </w:pPr>
      <w:r>
        <w:rPr>
          <w:rFonts w:hint="eastAsia" w:ascii="宋体" w:hAnsi="宋体" w:eastAsia="宋体" w:cs="宋体"/>
          <w:sz w:val="21"/>
          <w:szCs w:val="21"/>
        </w:rPr>
        <w:t>黄体期：1.38～5.47 mIU/mL</w:t>
      </w:r>
    </w:p>
    <w:p w14:paraId="210F9868">
      <w:pPr>
        <w:keepNext w:val="0"/>
        <w:keepLines w:val="0"/>
        <w:pageBreakBefore w:val="0"/>
        <w:numPr>
          <w:ilvl w:val="0"/>
          <w:numId w:val="0"/>
        </w:numPr>
        <w:kinsoku/>
        <w:wordWrap/>
        <w:overflowPunct/>
        <w:topLinePunct w:val="0"/>
        <w:bidi w:val="0"/>
        <w:snapToGrid w:val="0"/>
        <w:spacing w:line="360" w:lineRule="auto"/>
        <w:ind w:firstLine="1050" w:firstLineChars="500"/>
        <w:textAlignment w:val="auto"/>
        <w:rPr>
          <w:rFonts w:hint="eastAsia" w:ascii="宋体" w:hAnsi="宋体" w:eastAsia="宋体" w:cs="宋体"/>
          <w:sz w:val="21"/>
          <w:szCs w:val="21"/>
        </w:rPr>
      </w:pPr>
      <w:r>
        <w:rPr>
          <w:rFonts w:hint="eastAsia" w:ascii="宋体" w:hAnsi="宋体" w:eastAsia="宋体" w:cs="宋体"/>
          <w:sz w:val="21"/>
          <w:szCs w:val="21"/>
        </w:rPr>
        <w:t>绝经期：26.72～133.41 mIU/mL</w:t>
      </w:r>
    </w:p>
    <w:p w14:paraId="399FB10F">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eastAsia="宋体" w:cs="宋体"/>
          <w:sz w:val="21"/>
          <w:szCs w:val="21"/>
        </w:rPr>
        <w:t xml:space="preserve"> </w:t>
      </w: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10A317C8">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0.11～150 mIU/mL</w:t>
      </w:r>
      <w:r>
        <w:rPr>
          <w:rFonts w:hint="eastAsia" w:ascii="宋体" w:hAnsi="宋体" w:cs="宋体"/>
          <w:sz w:val="21"/>
          <w:szCs w:val="21"/>
          <w:lang w:eastAsia="zh-CN"/>
        </w:rPr>
        <w:t>。</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5C038C6C">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1</w:t>
      </w:r>
      <w:r>
        <w:rPr>
          <w:rFonts w:hint="eastAsia" w:ascii="宋体" w:hAnsi="宋体" w:cs="宋体"/>
          <w:b w:val="0"/>
          <w:sz w:val="21"/>
          <w:szCs w:val="21"/>
          <w:lang w:val="en-US" w:eastAsia="zh-CN"/>
        </w:rPr>
        <w:t>7</w:t>
      </w:r>
      <w:r>
        <w:rPr>
          <w:rFonts w:hint="eastAsia" w:ascii="宋体" w:hAnsi="宋体" w:eastAsia="宋体" w:cs="宋体"/>
          <w:b w:val="0"/>
          <w:sz w:val="21"/>
          <w:szCs w:val="21"/>
          <w:lang w:val="en-US" w:eastAsia="zh-CN"/>
        </w:rPr>
        <w:t xml:space="preserve">.1 </w:t>
      </w:r>
      <w:r>
        <w:rPr>
          <w:rFonts w:hint="eastAsia" w:ascii="宋体" w:hAnsi="宋体" w:eastAsia="宋体" w:cs="宋体"/>
          <w:kern w:val="0"/>
          <w:sz w:val="21"/>
          <w:szCs w:val="21"/>
        </w:rPr>
        <w:t>卵泡刺激素浓度大于150.00 mIU/mL的样本会被添加“&gt;150.00”标识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2F3B8710">
      <w:pPr>
        <w:numPr>
          <w:ilvl w:val="0"/>
          <w:numId w:val="0"/>
        </w:num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5</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52553F57">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LH和卵泡刺激素浓度增加伴低浓度的生殖腺类固醇可作为性腺功能衰竭的指征。如在男性中观察到上述情况，说明可能存在原发性睾丸功能衰竭或无睾症。卵泡刺激素在Klinefelter综合征（曲细精管发育不全）中也可能升高，或支持细胞衰竭也会引起其升高。在女性中，卵泡刺激素升高而生殖腺类固醇降低的情况包括绝经、卵巢早衰和卵巢切除，而多囊卵巢综合征时可能伴随LH/卵泡刺激素比率增加。</w:t>
      </w:r>
    </w:p>
    <w:p w14:paraId="419BB8EE">
      <w:pPr>
        <w:keepNext w:val="0"/>
        <w:keepLines w:val="0"/>
        <w:pageBreakBefore w:val="0"/>
        <w:kinsoku/>
        <w:wordWrap/>
        <w:overflowPunct/>
        <w:topLinePunct w:val="0"/>
        <w:bidi w:val="0"/>
        <w:spacing w:line="360" w:lineRule="auto"/>
        <w:ind w:firstLine="420" w:firstLineChars="0"/>
        <w:textAlignment w:val="auto"/>
        <w:outlineLvl w:val="0"/>
        <w:rPr>
          <w:rFonts w:hint="eastAsia" w:ascii="宋体" w:hAnsi="宋体" w:eastAsia="宋体" w:cs="宋体"/>
          <w:kern w:val="0"/>
          <w:sz w:val="21"/>
          <w:szCs w:val="21"/>
        </w:rPr>
      </w:pPr>
      <w:r>
        <w:rPr>
          <w:rFonts w:hint="eastAsia" w:ascii="宋体" w:hAnsi="宋体" w:eastAsia="宋体" w:cs="宋体"/>
          <w:sz w:val="21"/>
          <w:szCs w:val="21"/>
        </w:rPr>
        <w:t>卵泡刺激素浓度异常也可能提示下丘脑—垂体轴功能紊乱。在性成熟的成年人当中，卵泡刺激素缺乏及低浓度的LH和性激素可提示垂体功能的减退。这可能是由GnRH分泌减少或垂体对GnRH无反应引起的。通过测定GnRH给药后的血清卵泡刺激素水平，可区分这两种情况。</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6F7B7535">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20.1接受小鼠单克隆抗体制剂诊断或治疗的患者，其样本中可能含有</w:t>
      </w:r>
      <w:r>
        <w:rPr>
          <w:rFonts w:hint="default" w:ascii="宋体" w:hAnsi="宋体" w:eastAsia="宋体" w:cs="宋体"/>
          <w:lang w:val="en-US" w:eastAsia="zh-CN"/>
        </w:rPr>
        <w:t>人抗小鼠抗体(HAMA)。使用含有小鼠单克隆抗体的试剂盒检测此类样本时，检测值可能会假性升高或降低</w:t>
      </w:r>
      <w:r>
        <w:rPr>
          <w:rFonts w:hint="eastAsia" w:ascii="宋体" w:hAnsi="宋体" w:eastAsia="宋体" w:cs="宋体"/>
          <w:lang w:val="en-US" w:eastAsia="zh-CN"/>
        </w:rPr>
        <w:t>。</w:t>
      </w:r>
    </w:p>
    <w:p w14:paraId="161B23F2">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lang w:val="en-US" w:eastAsia="zh-CN"/>
        </w:rPr>
        <w:t>20.2</w:t>
      </w:r>
      <w:r>
        <w:rPr>
          <w:rFonts w:hint="default" w:ascii="宋体" w:hAnsi="宋体" w:eastAsia="宋体" w:cs="宋体"/>
          <w:lang w:val="en-US" w:eastAsia="zh-CN"/>
        </w:rPr>
        <w:t>人血清中的异嗜性抗体可与试剂中的免疫球蛋白发生反应，干扰</w:t>
      </w:r>
      <w:r>
        <w:rPr>
          <w:rFonts w:hint="eastAsia" w:ascii="宋体" w:hAnsi="宋体" w:eastAsia="宋体" w:cs="宋体"/>
          <w:lang w:val="en-US" w:eastAsia="zh-CN"/>
        </w:rPr>
        <w:t>体外</w:t>
      </w:r>
      <w:r>
        <w:rPr>
          <w:rFonts w:hint="default" w:ascii="宋体" w:hAnsi="宋体" w:eastAsia="宋体" w:cs="宋体"/>
          <w:lang w:val="en-US" w:eastAsia="zh-CN"/>
        </w:rPr>
        <w:t>免疫测定。经常与动物或动物血清产品接触的患者，其样本可能容易受到此干扰，并使检测结果出现异常值。</w:t>
      </w:r>
    </w:p>
    <w:p w14:paraId="4A819F01">
      <w:pPr>
        <w:autoSpaceDE w:val="0"/>
        <w:autoSpaceDN w:val="0"/>
        <w:adjustRightInd w:val="0"/>
        <w:spacing w:after="125" w:line="360" w:lineRule="auto"/>
        <w:jc w:val="left"/>
        <w:rPr>
          <w:rFonts w:hint="default" w:ascii="宋体" w:hAnsi="宋体" w:eastAsia="宋体" w:cs="黑体"/>
          <w:b/>
          <w:bCs/>
          <w:color w:val="FF0000"/>
          <w:szCs w:val="21"/>
          <w:lang w:val="en-US" w:eastAsia="zh-CN"/>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000000"/>
          <w:szCs w:val="21"/>
        </w:rPr>
        <w:t xml:space="preserve"> </w:t>
      </w:r>
      <w:r>
        <w:rPr>
          <w:rFonts w:hint="eastAsia" w:ascii="宋体" w:hAnsi="宋体" w:cs="黑体"/>
          <w:b/>
          <w:bCs/>
          <w:color w:val="auto"/>
          <w:szCs w:val="21"/>
        </w:rPr>
        <w:t>检验结果报告方式</w:t>
      </w:r>
    </w:p>
    <w:tbl>
      <w:tblPr>
        <w:tblStyle w:val="13"/>
        <w:tblW w:w="5273"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912"/>
        <w:gridCol w:w="902"/>
        <w:gridCol w:w="897"/>
        <w:gridCol w:w="2562"/>
      </w:tblGrid>
      <w:tr w14:paraId="6F939071">
        <w:trPr>
          <w:trHeight w:val="423" w:hRule="atLeast"/>
        </w:trPr>
        <w:tc>
          <w:tcPr>
            <w:tcW w:w="913"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98"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898"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2564"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913"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98"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sz w:val="21"/>
                <w:szCs w:val="21"/>
              </w:rPr>
              <w:t>mIU/mL</w:t>
            </w:r>
            <w:r>
              <w:rPr>
                <w:rFonts w:ascii="宋体" w:hAnsi="宋体" w:cs="宋体"/>
                <w:color w:val="000000"/>
                <w:sz w:val="18"/>
                <w:szCs w:val="18"/>
              </w:rPr>
              <w:t xml:space="preserve"> </w:t>
            </w:r>
          </w:p>
        </w:tc>
        <w:tc>
          <w:tcPr>
            <w:tcW w:w="898"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hint="default" w:ascii="宋体" w:hAnsi="宋体" w:cs="宋体"/>
                <w:color w:val="000000"/>
                <w:sz w:val="18"/>
                <w:szCs w:val="18"/>
                <w:lang w:val="en-US"/>
              </w:rPr>
              <w:t>0</w:t>
            </w:r>
            <w:r>
              <w:rPr>
                <w:rFonts w:ascii="宋体" w:hAnsi="宋体" w:cs="宋体"/>
                <w:color w:val="000000"/>
                <w:sz w:val="18"/>
                <w:szCs w:val="18"/>
              </w:rPr>
              <w:t xml:space="preserve">.8 </w:t>
            </w:r>
          </w:p>
        </w:tc>
        <w:tc>
          <w:tcPr>
            <w:tcW w:w="2564" w:type="dxa"/>
            <w:tcBorders>
              <w:top w:val="single" w:color="000000" w:sz="4" w:space="0"/>
              <w:left w:val="single" w:color="000000" w:sz="4" w:space="0"/>
              <w:bottom w:val="single" w:color="000000" w:sz="4" w:space="0"/>
              <w:right w:val="single" w:color="000000" w:sz="4" w:space="0"/>
            </w:tcBorders>
            <w:vAlign w:val="bottom"/>
          </w:tcPr>
          <w:p w14:paraId="3C60520C">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cs="宋体"/>
                <w:color w:val="000000"/>
                <w:sz w:val="18"/>
                <w:szCs w:val="18"/>
              </w:rPr>
            </w:pPr>
            <w:r>
              <w:rPr>
                <w:rFonts w:hint="eastAsia" w:ascii="宋体" w:hAnsi="宋体" w:eastAsia="宋体" w:cs="宋体"/>
                <w:sz w:val="21"/>
                <w:szCs w:val="21"/>
              </w:rPr>
              <w:t>0.11～150 mIU/mL</w:t>
            </w:r>
            <w:r>
              <w:rPr>
                <w:rFonts w:ascii="宋体" w:hAnsi="宋体" w:cs="宋体"/>
                <w:color w:val="000000"/>
                <w:sz w:val="18"/>
                <w:szCs w:val="18"/>
              </w:rPr>
              <w:t xml:space="preserve"> </w:t>
            </w:r>
          </w:p>
        </w:tc>
      </w:tr>
      <w:tr w14:paraId="5E89E296">
        <w:trPr>
          <w:trHeight w:val="410" w:hRule="atLeast"/>
        </w:trPr>
        <w:tc>
          <w:tcPr>
            <w:tcW w:w="5273"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360221F">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5E5E6908">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366CE10C">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425A948C">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2A885EB2">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11952F0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cs="宋体"/>
          <w:color w:val="auto"/>
        </w:rPr>
        <w:t>卵泡刺激素</w:t>
      </w:r>
      <w:r>
        <w:rPr>
          <w:rFonts w:hint="eastAsia" w:ascii="宋体" w:hAnsi="宋体" w:cs="宋体"/>
          <w:color w:val="auto"/>
          <w:szCs w:val="21"/>
        </w:rPr>
        <w:t>测定试剂盒使用说明书</w:t>
      </w:r>
      <w:r>
        <w:rPr>
          <w:rFonts w:hint="eastAsia" w:ascii="宋体" w:hAnsi="宋体" w:cs="宋体"/>
          <w:color w:val="auto"/>
          <w:szCs w:val="21"/>
          <w:highlight w:val="none"/>
        </w:rPr>
        <w:t>。</w:t>
      </w:r>
    </w:p>
    <w:p w14:paraId="2FE8E5A4">
      <w:pPr>
        <w:tabs>
          <w:tab w:val="left" w:pos="6625"/>
        </w:tabs>
        <w:bidi w:val="0"/>
        <w:ind w:firstLine="420" w:firstLineChars="200"/>
        <w:jc w:val="both"/>
        <w:rPr>
          <w:rFonts w:hint="eastAsia"/>
          <w:lang w:val="en-US" w:eastAsia="zh-CN"/>
        </w:rPr>
      </w:pP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宋体"/>
            </w:rPr>
            <w:t>卵泡刺激素标准操作规程</w:t>
          </w:r>
          <w:r>
            <w:rPr>
              <w:rFonts w:ascii="宋体" w:hAnsi="宋体" w:cs="宋体"/>
            </w:rPr>
            <w:t xml:space="preserve"> </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207</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D2B7DCE"/>
    <w:rsid w:val="0E564BC0"/>
    <w:rsid w:val="0EE943A1"/>
    <w:rsid w:val="1136791A"/>
    <w:rsid w:val="140627C6"/>
    <w:rsid w:val="16590D6F"/>
    <w:rsid w:val="190B48E9"/>
    <w:rsid w:val="193A2207"/>
    <w:rsid w:val="198C31CC"/>
    <w:rsid w:val="19EB6CD8"/>
    <w:rsid w:val="1A196854"/>
    <w:rsid w:val="1B174AA3"/>
    <w:rsid w:val="1BC3D6E4"/>
    <w:rsid w:val="1BD01CDC"/>
    <w:rsid w:val="1BEA426E"/>
    <w:rsid w:val="1D1E110C"/>
    <w:rsid w:val="1E2468E7"/>
    <w:rsid w:val="1E2C4B39"/>
    <w:rsid w:val="1F6E5258"/>
    <w:rsid w:val="21786DF7"/>
    <w:rsid w:val="21B66370"/>
    <w:rsid w:val="22C0487C"/>
    <w:rsid w:val="230322A3"/>
    <w:rsid w:val="24F81C8F"/>
    <w:rsid w:val="25BA40AE"/>
    <w:rsid w:val="267E3932"/>
    <w:rsid w:val="289B19CD"/>
    <w:rsid w:val="28D04376"/>
    <w:rsid w:val="29BF8A7D"/>
    <w:rsid w:val="29DF0939"/>
    <w:rsid w:val="2A2C7FF1"/>
    <w:rsid w:val="2ACE35F7"/>
    <w:rsid w:val="2B5B656A"/>
    <w:rsid w:val="2C5F0D8F"/>
    <w:rsid w:val="2D7B3137"/>
    <w:rsid w:val="2E93017E"/>
    <w:rsid w:val="2EAD646E"/>
    <w:rsid w:val="2ED00DAA"/>
    <w:rsid w:val="2F9E31D8"/>
    <w:rsid w:val="2FB2C32A"/>
    <w:rsid w:val="30016080"/>
    <w:rsid w:val="301414F4"/>
    <w:rsid w:val="3072267A"/>
    <w:rsid w:val="32674562"/>
    <w:rsid w:val="32F0684A"/>
    <w:rsid w:val="33CD5CEB"/>
    <w:rsid w:val="366227D0"/>
    <w:rsid w:val="37952335"/>
    <w:rsid w:val="38AB00F5"/>
    <w:rsid w:val="38BB09B7"/>
    <w:rsid w:val="39D84678"/>
    <w:rsid w:val="3B426332"/>
    <w:rsid w:val="3BDE5F11"/>
    <w:rsid w:val="3C2D6FA3"/>
    <w:rsid w:val="3C794E08"/>
    <w:rsid w:val="3CB02637"/>
    <w:rsid w:val="3CF4125E"/>
    <w:rsid w:val="3CFC4845"/>
    <w:rsid w:val="3D496598"/>
    <w:rsid w:val="3DEE77A3"/>
    <w:rsid w:val="3DF781BF"/>
    <w:rsid w:val="3E9259FE"/>
    <w:rsid w:val="3EAD4C74"/>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CF305D6"/>
    <w:rsid w:val="4D0A0630"/>
    <w:rsid w:val="4DABB08E"/>
    <w:rsid w:val="4E33621E"/>
    <w:rsid w:val="4F443F90"/>
    <w:rsid w:val="4F7B3E0D"/>
    <w:rsid w:val="50D36397"/>
    <w:rsid w:val="51646721"/>
    <w:rsid w:val="535B5879"/>
    <w:rsid w:val="537500B1"/>
    <w:rsid w:val="553E1DDE"/>
    <w:rsid w:val="57323D5B"/>
    <w:rsid w:val="5975DF32"/>
    <w:rsid w:val="59FF9925"/>
    <w:rsid w:val="5A2713C5"/>
    <w:rsid w:val="5B5402D8"/>
    <w:rsid w:val="5BE1146F"/>
    <w:rsid w:val="5BFC9E99"/>
    <w:rsid w:val="5C0558C7"/>
    <w:rsid w:val="5C7A51B6"/>
    <w:rsid w:val="5D224731"/>
    <w:rsid w:val="5DD71AD0"/>
    <w:rsid w:val="5EA619AA"/>
    <w:rsid w:val="5EBD2634"/>
    <w:rsid w:val="5FF86C48"/>
    <w:rsid w:val="62452E7C"/>
    <w:rsid w:val="626F0CE7"/>
    <w:rsid w:val="65DD7790"/>
    <w:rsid w:val="66867B10"/>
    <w:rsid w:val="68DA6FE3"/>
    <w:rsid w:val="697B6DB5"/>
    <w:rsid w:val="6A466370"/>
    <w:rsid w:val="6B1A0BC6"/>
    <w:rsid w:val="6BA319BD"/>
    <w:rsid w:val="6BABB983"/>
    <w:rsid w:val="6BEBC8DE"/>
    <w:rsid w:val="6C7B71F3"/>
    <w:rsid w:val="6D196D62"/>
    <w:rsid w:val="6D262970"/>
    <w:rsid w:val="6E0C4C99"/>
    <w:rsid w:val="6E746F94"/>
    <w:rsid w:val="6F851661"/>
    <w:rsid w:val="6FF89FD5"/>
    <w:rsid w:val="70B8483E"/>
    <w:rsid w:val="714313D9"/>
    <w:rsid w:val="714A0C4D"/>
    <w:rsid w:val="71AC4E84"/>
    <w:rsid w:val="76DF1725"/>
    <w:rsid w:val="77A244F9"/>
    <w:rsid w:val="79360180"/>
    <w:rsid w:val="7A7157E4"/>
    <w:rsid w:val="7B6B3846"/>
    <w:rsid w:val="7BED3526"/>
    <w:rsid w:val="7C2E1453"/>
    <w:rsid w:val="7D6C302E"/>
    <w:rsid w:val="7D72AAFF"/>
    <w:rsid w:val="7D761851"/>
    <w:rsid w:val="7DC25022"/>
    <w:rsid w:val="7E173C19"/>
    <w:rsid w:val="7EF2F3F9"/>
    <w:rsid w:val="7EFF12EB"/>
    <w:rsid w:val="7EFF605C"/>
    <w:rsid w:val="7F75ACA3"/>
    <w:rsid w:val="7FABBC93"/>
    <w:rsid w:val="7FDF549E"/>
    <w:rsid w:val="7FEE9BDF"/>
    <w:rsid w:val="9E5D7E38"/>
    <w:rsid w:val="A7D70D23"/>
    <w:rsid w:val="B7BFAD5D"/>
    <w:rsid w:val="BBEFFC0D"/>
    <w:rsid w:val="C7FE5B01"/>
    <w:rsid w:val="CFFDAD2D"/>
    <w:rsid w:val="DAFB0FF9"/>
    <w:rsid w:val="DDDFC5E3"/>
    <w:rsid w:val="DF664C05"/>
    <w:rsid w:val="E3BC33EF"/>
    <w:rsid w:val="E9ED4260"/>
    <w:rsid w:val="ED7CFFA9"/>
    <w:rsid w:val="EEB7132B"/>
    <w:rsid w:val="EEFF4529"/>
    <w:rsid w:val="F5EF6CDB"/>
    <w:rsid w:val="F7FAB92E"/>
    <w:rsid w:val="F995FA05"/>
    <w:rsid w:val="F9EF37D2"/>
    <w:rsid w:val="FCDB0E93"/>
    <w:rsid w:val="FD6BAF16"/>
    <w:rsid w:val="FDA70C10"/>
    <w:rsid w:val="FFAF3A1E"/>
    <w:rsid w:val="FFFBF4C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 w:type="paragraph" w:customStyle="1" w:styleId="39">
    <w:name w:val="Default Text"/>
    <w:basedOn w:val="1"/>
    <w:qFormat/>
    <w:uiPriority w:val="0"/>
    <w:pPr>
      <w:autoSpaceDE w:val="0"/>
      <w:autoSpaceDN w:val="0"/>
      <w:adjustRightInd w:val="0"/>
      <w:jc w:val="left"/>
    </w:pPr>
    <w:rPr>
      <w:rFonts w:ascii="Times New Roman" w:hAnsi="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3322</Words>
  <Characters>4305</Characters>
  <Lines>30</Lines>
  <Paragraphs>8</Paragraphs>
  <TotalTime>0</TotalTime>
  <ScaleCrop>false</ScaleCrop>
  <LinksUpToDate>false</LinksUpToDate>
  <CharactersWithSpaces>4491</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2023-03-25T23:48:00Z</dcterms:created>
  <dc:creator>微软用户</dc:creator>
  <cp:lastModifiedBy>Shea</cp:lastModifiedBy>
  <cp:lastPrinted>2024-10-17T19:06:00Z</cp:lastPrinted>
  <dcterms:modified xsi:type="dcterms:W3CDTF">2024-11-19T17:49:04Z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7108EDDABEC1625113C826672F187768_43</vt:lpwstr>
  </property>
</Properties>
</file>